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spacing w:line="360" w:lineRule="auto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color w:val="auto"/>
          <w:kern w:val="2"/>
          <w:sz w:val="32"/>
          <w:szCs w:val="32"/>
        </w:rPr>
        <w:t>1</w:t>
      </w:r>
    </w:p>
    <w:p>
      <w:pPr>
        <w:spacing w:line="600" w:lineRule="exact"/>
        <w:jc w:val="center"/>
        <w:rPr>
          <w:rFonts w:ascii="Times New Roman" w:eastAsia="华文中宋" w:hAnsi="Times New Roman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eastAsia="华文中宋" w:hAnsi="Times New Roman"/>
          <w:b/>
          <w:bCs/>
          <w:kern w:val="0"/>
          <w:sz w:val="44"/>
          <w:szCs w:val="44"/>
        </w:rPr>
      </w:pPr>
      <w:r>
        <w:rPr>
          <w:rFonts w:ascii="Times New Roman" w:eastAsia="华文中宋" w:hAnsi="Times New Roman"/>
          <w:b/>
          <w:bCs/>
          <w:kern w:val="0"/>
          <w:sz w:val="36"/>
          <w:szCs w:val="36"/>
        </w:rPr>
        <w:t>2026</w:t>
      </w:r>
      <w:r>
        <w:rPr>
          <w:rFonts w:ascii="华文中宋" w:eastAsia="华文中宋" w:hAnsi="Times New Roman" w:hint="eastAsia"/>
          <w:b/>
          <w:bCs/>
          <w:kern w:val="0"/>
          <w:sz w:val="36"/>
          <w:szCs w:val="36"/>
        </w:rPr>
        <w:t>中国农业重大新技术新产品推荐材料（式样）</w:t>
      </w:r>
    </w:p>
    <w:p>
      <w:pPr>
        <w:adjustRightInd w:val="0"/>
        <w:snapToGrid w:val="0"/>
        <w:spacing w:line="360" w:lineRule="auto"/>
        <w:ind w:firstLineChars="200" w:firstLine="560"/>
        <w:jc w:val="center"/>
        <w:rPr>
          <w:rFonts w:ascii="Times New Roman" w:eastAsia="仿宋_GB2312" w:hAnsi="Times New Roman"/>
          <w:color w:val="auto"/>
          <w:kern w:val="2"/>
          <w:sz w:val="28"/>
          <w:szCs w:val="28"/>
        </w:rPr>
      </w:pPr>
    </w:p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cs="黑体" w:hAnsi="黑体" w:hint="eastAsia"/>
          <w:kern w:val="2"/>
          <w:sz w:val="32"/>
          <w:szCs w:val="32"/>
          <w:lang w:bidi="ar-SA"/>
        </w:rPr>
        <w:t>推荐单位</w:t>
      </w:r>
      <w:r>
        <w:rPr>
          <w:rFonts w:ascii="黑体" w:eastAsia="黑体" w:hAnsi="Times New Roman" w:hint="eastAsia"/>
          <w:kern w:val="2"/>
          <w:sz w:val="32"/>
          <w:szCs w:val="32"/>
        </w:rPr>
        <w:t>（盖章）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</w:p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成果名称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标明具体的技术、产品和装备名称，一定要具体化。成果名称不超过</w:t>
      </w:r>
      <w:r>
        <w:rPr>
          <w:rFonts w:ascii="Times New Roman" w:eastAsia="仿宋_GB2312" w:hAnsi="Times New Roman"/>
          <w:kern w:val="2"/>
          <w:sz w:val="32"/>
          <w:szCs w:val="32"/>
        </w:rPr>
        <w:t>30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字。标注所属专业及类别，专业包括：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农学、土肥、园艺、植保、畜牧、兽医、水产、农业工程、农产品加工</w:t>
      </w:r>
      <w:r>
        <w:rPr>
          <w:rFonts w:ascii="Times New Roman" w:eastAsia="仿宋_GB2312" w:hAnsi="Times New Roman"/>
          <w:color w:val="auto"/>
          <w:kern w:val="2"/>
          <w:sz w:val="32"/>
          <w:szCs w:val="32"/>
        </w:rPr>
        <w:t>9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个专业；类别包括：新技术、新产品</w:t>
      </w:r>
      <w:r>
        <w:rPr>
          <w:rFonts w:ascii="Times New Roman" w:eastAsia="仿宋_GB2312" w:hAnsi="Times New Roman"/>
          <w:color w:val="auto"/>
          <w:kern w:val="2"/>
          <w:sz w:val="32"/>
          <w:szCs w:val="32"/>
        </w:rPr>
        <w:t>2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类。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b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【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范例：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韭蛆</w:t>
      </w:r>
      <w:r>
        <w:rPr>
          <w:rFonts w:ascii="Times New Roman" w:eastAsia="仿宋_GB2312" w:hAnsi="Times New Roman"/>
          <w:kern w:val="2"/>
          <w:sz w:val="32"/>
          <w:szCs w:val="32"/>
        </w:rPr>
        <w:t>“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覆膜增温法</w:t>
      </w:r>
      <w:r>
        <w:rPr>
          <w:rFonts w:ascii="Times New Roman" w:eastAsia="仿宋_GB2312" w:hAnsi="Times New Roman"/>
          <w:kern w:val="2"/>
          <w:sz w:val="32"/>
          <w:szCs w:val="32"/>
        </w:rPr>
        <w:t>”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绿色防控技术，植保专业，新技术】</w:t>
      </w:r>
    </w:p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成果简介（</w:t>
      </w:r>
      <w:r>
        <w:rPr>
          <w:rFonts w:ascii="Times New Roman" w:eastAsia="黑体" w:hAnsi="Times New Roman"/>
          <w:kern w:val="2"/>
          <w:sz w:val="32"/>
          <w:szCs w:val="32"/>
        </w:rPr>
        <w:t>200</w:t>
      </w:r>
      <w:r>
        <w:rPr>
          <w:rFonts w:ascii="黑体" w:eastAsia="黑体" w:hAnsi="Times New Roman" w:hint="eastAsia"/>
          <w:kern w:val="2"/>
          <w:sz w:val="32"/>
          <w:szCs w:val="32"/>
        </w:rPr>
        <w:t>字以内）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包含成果关键突破、核心技术、重要特征、重大意义等。</w:t>
      </w:r>
    </w:p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成果代表性支撑材料目录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请列出成果代表性支撑材料的名称与发表（获得）时间，支撑材料时间需为</w:t>
      </w:r>
      <w:r>
        <w:rPr>
          <w:rFonts w:ascii="Times New Roman" w:eastAsia="仿宋_GB2312" w:hAnsi="Times New Roman"/>
          <w:kern w:val="2"/>
          <w:sz w:val="32"/>
          <w:szCs w:val="32"/>
        </w:rPr>
        <w:t>2023—2025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年，此处不超过</w:t>
      </w:r>
      <w:r>
        <w:rPr>
          <w:rFonts w:ascii="Times New Roman" w:eastAsia="仿宋_GB2312" w:hAnsi="Times New Roman"/>
          <w:kern w:val="2"/>
          <w:sz w:val="32"/>
          <w:szCs w:val="32"/>
        </w:rPr>
        <w:t>5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项。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范例：日晒高温覆膜法在韭蛆防治中的应用</w:t>
      </w:r>
      <w:r>
        <w:rPr>
          <w:rFonts w:ascii="Times New Roman" w:eastAsia="仿宋_GB2312" w:hAnsi="Times New Roman"/>
          <w:kern w:val="2"/>
          <w:sz w:val="32"/>
          <w:szCs w:val="32"/>
        </w:rPr>
        <w:t xml:space="preserve">[J]. 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《期刊名称》</w:t>
      </w:r>
      <w:r>
        <w:rPr>
          <w:rFonts w:ascii="Times New Roman" w:eastAsia="仿宋_GB2312" w:hAnsi="Times New Roman"/>
          <w:kern w:val="2"/>
          <w:sz w:val="32"/>
          <w:szCs w:val="32"/>
        </w:rPr>
        <w:t>, 2023</w:t>
      </w:r>
    </w:p>
    <w:p>
      <w:pPr>
        <w:adjustRightInd w:val="0"/>
        <w:snapToGrid w:val="0"/>
        <w:spacing w:line="600" w:lineRule="exact"/>
        <w:ind w:firstLineChars="500" w:firstLine="160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xxxxx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 xml:space="preserve">发明专利证书 </w:t>
      </w:r>
      <w:r>
        <w:rPr>
          <w:rFonts w:ascii="Times New Roman" w:eastAsia="仿宋_GB2312" w:hAnsi="Times New Roman"/>
          <w:kern w:val="2"/>
          <w:sz w:val="32"/>
          <w:szCs w:val="32"/>
        </w:rPr>
        <w:t>2023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 xml:space="preserve">      xxxxx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 xml:space="preserve">主要农作物品种 </w:t>
      </w:r>
      <w:r>
        <w:rPr>
          <w:rFonts w:ascii="Times New Roman" w:eastAsia="仿宋_GB2312" w:hAnsi="Times New Roman"/>
          <w:kern w:val="2"/>
          <w:sz w:val="32"/>
          <w:szCs w:val="32"/>
        </w:rPr>
        <w:t>2023</w:t>
      </w:r>
    </w:p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成果详情（</w:t>
      </w:r>
      <w:r>
        <w:rPr>
          <w:rFonts w:ascii="Times New Roman" w:eastAsia="黑体" w:hAnsi="Times New Roman"/>
          <w:kern w:val="2"/>
          <w:sz w:val="32"/>
          <w:szCs w:val="32"/>
        </w:rPr>
        <w:t>2000</w:t>
      </w:r>
      <w:r>
        <w:rPr>
          <w:rFonts w:ascii="黑体" w:eastAsia="黑体" w:hAnsi="Times New Roman" w:hint="eastAsia"/>
          <w:kern w:val="2"/>
          <w:sz w:val="32"/>
          <w:szCs w:val="32"/>
        </w:rPr>
        <w:t>字以内）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/>
          <w:b/>
          <w:kern w:val="2"/>
          <w:sz w:val="32"/>
          <w:szCs w:val="32"/>
        </w:rPr>
      </w:pPr>
      <w:r>
        <w:rPr>
          <w:rFonts w:ascii="Times New Roman" w:eastAsia="楷体_GB2312" w:hAnsi="Times New Roman"/>
          <w:b/>
          <w:kern w:val="2"/>
          <w:sz w:val="32"/>
          <w:szCs w:val="32"/>
        </w:rPr>
        <w:t>1.</w:t>
      </w:r>
      <w:r>
        <w:rPr>
          <w:rFonts w:ascii="楷体_GB2312" w:eastAsia="楷体_GB2312" w:hAnsi="Times New Roman" w:hint="eastAsia"/>
          <w:b/>
          <w:kern w:val="2"/>
          <w:sz w:val="32"/>
          <w:szCs w:val="32"/>
        </w:rPr>
        <w:t>研发背景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成果提出的背景，针对生产中的问题，突破的技术难点。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/>
          <w:b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【范例：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韭蛆是影响韭菜质量安全的关键因子。利用韭蛆不耐高温的特点，通过对韭蛆的生物生态学习性与灾变规律进行系统研究，研发出日晒高温覆膜法防治韭蛆技术，解决了韭蛆防治中过分依赖化学农药、绿色高效防治技术匮乏的问题</w:t>
      </w:r>
      <w:r>
        <w:rPr>
          <w:rFonts w:ascii="楷体_GB2312" w:eastAsia="楷体_GB2312" w:hAnsi="Times New Roman" w:hint="eastAsia"/>
          <w:b/>
          <w:kern w:val="2"/>
          <w:sz w:val="32"/>
          <w:szCs w:val="32"/>
        </w:rPr>
        <w:t>。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】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/>
          <w:b/>
          <w:kern w:val="2"/>
          <w:sz w:val="32"/>
          <w:szCs w:val="32"/>
        </w:rPr>
      </w:pPr>
      <w:r>
        <w:rPr>
          <w:rFonts w:ascii="Times New Roman" w:eastAsia="楷体_GB2312" w:hAnsi="Times New Roman"/>
          <w:b/>
          <w:kern w:val="2"/>
          <w:sz w:val="32"/>
          <w:szCs w:val="32"/>
        </w:rPr>
        <w:t>2.</w:t>
      </w:r>
      <w:r>
        <w:rPr>
          <w:rFonts w:ascii="楷体_GB2312" w:eastAsia="楷体_GB2312" w:hAnsi="Times New Roman" w:hint="eastAsia"/>
          <w:b/>
          <w:kern w:val="2"/>
          <w:sz w:val="32"/>
          <w:szCs w:val="32"/>
        </w:rPr>
        <w:t>技术要点及参数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能够体现成果主要创新点，反映成果使用中需特别注意的环节。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【范例：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在地面铺上厚度为</w:t>
      </w:r>
      <w:r>
        <w:rPr>
          <w:rFonts w:ascii="Times New Roman" w:eastAsia="仿宋_GB2312" w:hAnsi="Times New Roman"/>
          <w:kern w:val="2"/>
          <w:sz w:val="32"/>
          <w:szCs w:val="32"/>
        </w:rPr>
        <w:t>10 s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或</w:t>
      </w:r>
      <w:r>
        <w:rPr>
          <w:rFonts w:ascii="Times New Roman" w:eastAsia="仿宋_GB2312" w:hAnsi="Times New Roman"/>
          <w:kern w:val="2"/>
          <w:sz w:val="32"/>
          <w:szCs w:val="32"/>
        </w:rPr>
        <w:t>12 s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的浅蓝色无滴膜，当韭蛆幼虫所在的土壤温度超过</w:t>
      </w:r>
      <w:r>
        <w:rPr>
          <w:rFonts w:ascii="Times New Roman" w:eastAsia="仿宋_GB2312" w:hAnsi="Times New Roman"/>
          <w:kern w:val="2"/>
          <w:sz w:val="32"/>
          <w:szCs w:val="32"/>
        </w:rPr>
        <w:t>40</w:t>
      </w:r>
      <w:r>
        <w:rPr>
          <w:rFonts w:ascii="Times New Roman" w:eastAsia="宋体" w:hAnsi="Times New Roman"/>
          <w:kern w:val="2"/>
          <w:sz w:val="32"/>
          <w:szCs w:val="32"/>
        </w:rPr>
        <w:t>℃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，且持续</w:t>
      </w:r>
      <w:r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小时以上，能有效防治韭蛆，兼治不耐高温的其他病虫草害，促进韭菜生根。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】</w:t>
      </w:r>
    </w:p>
    <w:p>
      <w:pPr>
        <w:adjustRightInd w:val="0"/>
        <w:snapToGrid w:val="0"/>
        <w:spacing w:line="600" w:lineRule="exact"/>
        <w:ind w:firstLineChars="196" w:firstLine="627"/>
        <w:rPr>
          <w:rFonts w:ascii="Times New Roman" w:eastAsia="仿宋_GB2312" w:hAnsi="Times New Roman"/>
          <w:b/>
          <w:kern w:val="2"/>
          <w:sz w:val="32"/>
          <w:szCs w:val="32"/>
        </w:rPr>
      </w:pPr>
      <w:r>
        <w:rPr>
          <w:rFonts w:ascii="Times New Roman" w:eastAsia="楷体_GB2312" w:hAnsi="Times New Roman"/>
          <w:b/>
          <w:kern w:val="2"/>
          <w:sz w:val="32"/>
          <w:szCs w:val="32"/>
        </w:rPr>
        <w:t>3.</w:t>
      </w:r>
      <w:r>
        <w:rPr>
          <w:rFonts w:ascii="楷体_GB2312" w:eastAsia="楷体_GB2312" w:hAnsi="Times New Roman" w:hint="eastAsia"/>
          <w:b/>
          <w:kern w:val="2"/>
          <w:sz w:val="32"/>
          <w:szCs w:val="32"/>
        </w:rPr>
        <w:t>示范推广及应用前景</w:t>
      </w:r>
    </w:p>
    <w:p>
      <w:pPr>
        <w:adjustRightInd w:val="0"/>
        <w:snapToGrid w:val="0"/>
        <w:spacing w:line="600" w:lineRule="exact"/>
        <w:ind w:firstLineChars="196" w:firstLine="627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已开展的试验示范和中小范围推广情况，应用后可达到的效果，适用范围和推广应用的前景。</w:t>
      </w:r>
    </w:p>
    <w:p>
      <w:pPr>
        <w:adjustRightInd w:val="0"/>
        <w:snapToGrid w:val="0"/>
        <w:spacing w:line="600" w:lineRule="exact"/>
        <w:ind w:firstLineChars="196" w:firstLine="627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【范例：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该技术采用物理杀虫方法，操作简单、绿色环保、成本低廉、防治效果好，成功攻克了韭蛆防治难题，可在我国韭菜主产区推广应用。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】</w:t>
      </w:r>
    </w:p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研发单位及研发人员</w:t>
      </w:r>
    </w:p>
    <w:tbl>
      <w:tblPr>
        <w:jc w:val="left"/>
        <w:tblInd w:w="0" w:type="dxa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87"/>
        <w:gridCol w:w="1684"/>
        <w:gridCol w:w="2399"/>
        <w:gridCol w:w="2101"/>
      </w:tblGrid>
      <w:tr>
        <w:trPr>
          <w:cantSplit/>
          <w:trHeight w:val="6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编号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成果研发单位（需为法人单位、填写全称、不超过</w:t>
            </w:r>
            <w:r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  <w:t>5</w:t>
            </w: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个）</w:t>
            </w:r>
          </w:p>
        </w:tc>
      </w:tr>
      <w:tr>
        <w:trPr>
          <w:cantSplit/>
          <w:trHeight w:val="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</w:tr>
      <w:tr>
        <w:trPr>
          <w:trHeight w:val="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</w:tr>
      <w:tr>
        <w:trPr>
          <w:cantSplit/>
          <w:trHeight w:val="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  <w:t>……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</w:tr>
      <w:tr>
        <w:trPr>
          <w:cantSplit/>
          <w:trHeight w:val="20"/>
        </w:trPr>
        <w:tc>
          <w:tcPr>
            <w:tcW w:w="9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成果联系人（不超过</w:t>
            </w:r>
            <w:r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  <w:t>3</w:t>
            </w: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人）</w:t>
            </w:r>
          </w:p>
        </w:tc>
      </w:tr>
      <w:tr>
        <w:trPr>
          <w:cantSplit/>
          <w:trHeight w:val="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编号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姓名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单位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职务职称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b/>
                <w:kern w:val="0"/>
                <w:sz w:val="32"/>
                <w:szCs w:val="32"/>
                <w:lang w:bidi="ar-SA"/>
              </w:rPr>
            </w:pPr>
            <w:r>
              <w:rPr>
                <w:rFonts w:ascii="仿宋_GB2312" w:eastAsia="仿宋_GB2312" w:cs="Times New Roman" w:hAnsi="Times New Roman" w:hint="eastAsia"/>
                <w:b/>
                <w:kern w:val="0"/>
                <w:sz w:val="32"/>
                <w:szCs w:val="32"/>
                <w:lang w:bidi="ar-SA"/>
              </w:rPr>
              <w:t>联系方式</w:t>
            </w:r>
          </w:p>
        </w:tc>
      </w:tr>
      <w:tr>
        <w:trPr>
          <w:cantSplit/>
          <w:trHeight w:val="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</w:tr>
      <w:tr>
        <w:trPr>
          <w:cantSplit/>
          <w:trHeight w:val="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</w:tr>
      <w:tr>
        <w:trPr>
          <w:cantSplit/>
          <w:trHeight w:val="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" w:cs="Times New Roman" w:hAnsi="Times New Roman"/>
                <w:kern w:val="0"/>
                <w:sz w:val="32"/>
                <w:szCs w:val="32"/>
                <w:lang w:bidi="ar-SA"/>
              </w:rPr>
            </w:pPr>
          </w:p>
        </w:tc>
      </w:tr>
    </w:tbl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成果水平证明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验收结论或第三方成果评价报告，署明提供验收或评价的单位及时间。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【评价、验收报告等提供首页、评价意见页、专家签字页等关键页即可，原则上</w:t>
      </w:r>
      <w:r>
        <w:rPr>
          <w:rFonts w:ascii="Times New Roman" w:eastAsia="仿宋_GB2312" w:hAnsi="Times New Roman"/>
          <w:kern w:val="2"/>
          <w:sz w:val="32"/>
          <w:szCs w:val="32"/>
        </w:rPr>
        <w:t>2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张为宜，每张</w:t>
      </w:r>
      <w:r>
        <w:rPr>
          <w:rFonts w:ascii="Times New Roman" w:eastAsia="仿宋_GB2312" w:hAnsi="Times New Roman"/>
          <w:kern w:val="2"/>
          <w:sz w:val="32"/>
          <w:szCs w:val="32"/>
        </w:rPr>
        <w:t>1M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以内，</w:t>
      </w:r>
      <w:r>
        <w:rPr>
          <w:rFonts w:ascii="Times New Roman" w:eastAsia="仿宋_GB2312" w:hAnsi="Times New Roman"/>
          <w:kern w:val="2"/>
          <w:sz w:val="32"/>
          <w:szCs w:val="32"/>
        </w:rPr>
        <w:t>JPG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格式，直接粘贴在此</w:t>
      </w:r>
      <w:r>
        <w:rPr>
          <w:rFonts w:ascii="Times New Roman" w:eastAsia="仿宋_GB2312" w:hAnsi="Times New Roman"/>
          <w:kern w:val="2"/>
          <w:sz w:val="32"/>
          <w:szCs w:val="32"/>
        </w:rPr>
        <w:t>word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】</w:t>
      </w:r>
    </w:p>
    <w:p>
      <w:pPr>
        <w:numPr>
          <w:ilvl w:val="0"/>
          <w:numId w:val="1"/>
        </w:numPr>
        <w:tabs>
          <w:tab w:val="clear" w:pos="0"/>
          <w:tab w:val="left" w:pos="0"/>
        </w:tabs>
        <w:adjustRightInd w:val="0"/>
        <w:snapToGrid w:val="0"/>
        <w:spacing w:line="600" w:lineRule="exact"/>
        <w:ind w:left="0"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支撑材料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（一）体现产品、技术或装备的关键图片材料。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【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不超过</w:t>
      </w:r>
      <w:r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张，每张</w:t>
      </w:r>
      <w:r>
        <w:rPr>
          <w:rFonts w:ascii="Times New Roman" w:eastAsia="仿宋_GB2312" w:hAnsi="Times New Roman"/>
          <w:kern w:val="2"/>
          <w:sz w:val="32"/>
          <w:szCs w:val="32"/>
        </w:rPr>
        <w:t>1M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以内，</w:t>
      </w:r>
      <w:r>
        <w:rPr>
          <w:rFonts w:ascii="Times New Roman" w:eastAsia="仿宋_GB2312" w:hAnsi="Times New Roman"/>
          <w:kern w:val="2"/>
          <w:sz w:val="32"/>
          <w:szCs w:val="32"/>
        </w:rPr>
        <w:t>JPG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格式，直接粘贴在此</w:t>
      </w:r>
      <w:r>
        <w:rPr>
          <w:rFonts w:ascii="Times New Roman" w:eastAsia="仿宋_GB2312" w:hAnsi="Times New Roman"/>
          <w:kern w:val="2"/>
          <w:sz w:val="32"/>
          <w:szCs w:val="32"/>
        </w:rPr>
        <w:t>word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】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（二）在科技核心期刊上发表的主要学术论文。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【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提供论文摘要页，不超过</w:t>
      </w:r>
      <w:r>
        <w:rPr>
          <w:rFonts w:ascii="Times New Roman" w:eastAsia="仿宋_GB2312" w:hAnsi="Times New Roman"/>
          <w:kern w:val="2"/>
          <w:sz w:val="32"/>
          <w:szCs w:val="32"/>
        </w:rPr>
        <w:t>5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张，每张</w:t>
      </w:r>
      <w:r>
        <w:rPr>
          <w:rFonts w:ascii="Times New Roman" w:eastAsia="仿宋_GB2312" w:hAnsi="Times New Roman"/>
          <w:kern w:val="2"/>
          <w:sz w:val="32"/>
          <w:szCs w:val="32"/>
        </w:rPr>
        <w:t>1M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以内，</w:t>
      </w:r>
      <w:r>
        <w:rPr>
          <w:rFonts w:ascii="Times New Roman" w:eastAsia="仿宋_GB2312" w:hAnsi="Times New Roman"/>
          <w:kern w:val="2"/>
          <w:sz w:val="32"/>
          <w:szCs w:val="32"/>
        </w:rPr>
        <w:t>JPG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格式，直接粘贴在此</w:t>
      </w:r>
      <w:r>
        <w:rPr>
          <w:rFonts w:ascii="Times New Roman" w:eastAsia="仿宋_GB2312" w:hAnsi="Times New Roman"/>
          <w:kern w:val="2"/>
          <w:sz w:val="32"/>
          <w:szCs w:val="32"/>
        </w:rPr>
        <w:t>word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中。如超过</w:t>
      </w:r>
      <w:r>
        <w:rPr>
          <w:rFonts w:ascii="Times New Roman" w:eastAsia="仿宋_GB2312" w:hAnsi="Times New Roman"/>
          <w:kern w:val="2"/>
          <w:sz w:val="32"/>
          <w:szCs w:val="32"/>
        </w:rPr>
        <w:t>5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篇，以列表形式列出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】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（三）其他证明材料。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【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能够证明成果主体内容完成时间或成果水平，不超过</w:t>
      </w:r>
      <w:r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张，每张</w:t>
      </w:r>
      <w:r>
        <w:rPr>
          <w:rFonts w:ascii="Times New Roman" w:eastAsia="仿宋_GB2312" w:hAnsi="Times New Roman"/>
          <w:kern w:val="2"/>
          <w:sz w:val="32"/>
          <w:szCs w:val="32"/>
        </w:rPr>
        <w:t>1M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以内，</w:t>
      </w:r>
      <w:r>
        <w:rPr>
          <w:rFonts w:ascii="Times New Roman" w:eastAsia="仿宋_GB2312" w:hAnsi="Times New Roman"/>
          <w:kern w:val="2"/>
          <w:sz w:val="32"/>
          <w:szCs w:val="32"/>
        </w:rPr>
        <w:t>JPG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格式，直接粘贴在此</w:t>
      </w:r>
      <w:r>
        <w:rPr>
          <w:rFonts w:ascii="Times New Roman" w:eastAsia="仿宋_GB2312" w:hAnsi="Times New Roman"/>
          <w:kern w:val="2"/>
          <w:sz w:val="32"/>
          <w:szCs w:val="32"/>
        </w:rPr>
        <w:t>word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中</w:t>
      </w: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】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1.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2.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动物育种类成果：应附畜禽新品种、配套系和畜禽遗传资源的审定或鉴定证书；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3.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水产原、良种成果：应附国家或省级审定证书；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4.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肥料类、土壤调节剂成果：应附肥料登记证或临时登记证；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5.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农药（含生物农药）和植物生长调节剂成果：应附农药登记证或临时登记证；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6.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兽药（含生物兽药）成果：应附新兽药注册证或兽药生产许可证；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7.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饲料或饲料添加剂成果：应附新饲料、新饲料添加剂证书或生产许可证；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8.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9.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农业机械类成果：应附国家授权专利证书，以及省级以上人民政府颁发的农业机械推广鉴定证书；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10.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专利成果：应附专利授权证书；</w:t>
      </w:r>
    </w:p>
    <w:p>
      <w:r>
        <w:rPr>
          <w:rFonts w:ascii="Times New Roman" w:eastAsia="仿宋_GB2312" w:hAnsi="Times New Roman"/>
          <w:kern w:val="2"/>
          <w:sz w:val="32"/>
          <w:szCs w:val="32"/>
        </w:rPr>
        <w:t>11.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软件类成果：应附计算机软件著作权登记证书。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国标黑体">
    <w:panose1 w:val="02000500000000000000"/>
    <w:charset w:val="86"/>
    <w:family w:val="auto"/>
    <w:pitch w:val="variable"/>
    <w:sig w:usb0="00000001" w:usb1="08000000" w:usb2="00000000" w:usb3="00000000" w:csb0="0004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46362C59"/>
    <w:multiLevelType w:val="multilevel"/>
    <w:tmpl w:val="46362C59"/>
    <w:lvl w:ilvl="0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国标黑体" w:hAnsi="国标黑体" w:eastAsia="国标黑体" w:cs="国标黑体" w:hint="eastAsia"/>
      </w:rPr>
    </w:lvl>
    <w:lvl w:ilvl="1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  <w:lvl w:ilvl="2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  <w:lvl w:ilvl="3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  <w:lvl w:ilvl="4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  <w:lvl w:ilvl="5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  <w:lvl w:ilvl="6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  <w:lvl w:ilvl="7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  <w:lvl w:ilvl="8">
      <w:start w:val="1"/>
      <w:numFmt w:val="chineseCountingThousand"/>
      <w:lvlRestart w:val="0"/>
      <w:suff w:val="nothing"/>
      <w:lvlText w:val="%1、"/>
      <w:lvlJc w:val="left"/>
      <w:pPr>
        <w:tabs>
          <w:tab w:val="num" w:pos="0"/>
        </w:tabs>
        <w:ind w:left="420" w:hanging="420"/>
      </w:pPr>
      <w:rPr>
        <w:rFonts w:ascii="宋体" w:hAnsi="宋体" w:eastAsia="宋体"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02F944BC-7930-49CE-AE65-309BE05E6EF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Yozo_Office9.0.7057.191ZH.S1</Application>
  <Pages>4</Pages>
  <Words>0</Words>
  <Characters>1174</Characters>
  <Lines>0</Lines>
  <Paragraphs>49</Paragraphs>
  <CharactersWithSpaces>1566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nyncbuser</dc:creator>
  <cp:lastModifiedBy>nyncbuser</cp:lastModifiedBy>
  <cp:revision>1</cp:revision>
  <dcterms:created xsi:type="dcterms:W3CDTF">2026-04-03T05:51:27Z</dcterms:created>
  <dcterms:modified xsi:type="dcterms:W3CDTF">2026-04-03T05:52:47Z</dcterms:modified>
</cp:coreProperties>
</file>